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宿州市文化和旅游局</w:t>
      </w:r>
      <w:r>
        <w:rPr>
          <w:rFonts w:hint="eastAsia" w:ascii="方正小标宋_GBK" w:hAnsi="方正小标宋_GBK" w:eastAsia="方正小标宋_GBK" w:cs="方正小标宋_GBK"/>
          <w:color w:val="000000"/>
          <w:kern w:val="0"/>
          <w:sz w:val="44"/>
          <w:szCs w:val="44"/>
          <w:vertAlign w:val="baseline"/>
          <w:lang w:eastAsia="zh-CN"/>
        </w:rPr>
        <w:t>规范类行政权力中介服务清单</w:t>
      </w:r>
    </w:p>
    <w:tbl>
      <w:tblPr>
        <w:tblStyle w:val="4"/>
        <w:tblW w:w="13959" w:type="dxa"/>
        <w:tblInd w:w="93" w:type="dxa"/>
        <w:tblLayout w:type="fixed"/>
        <w:tblCellMar>
          <w:top w:w="0" w:type="dxa"/>
          <w:left w:w="108" w:type="dxa"/>
          <w:bottom w:w="0" w:type="dxa"/>
          <w:right w:w="108" w:type="dxa"/>
        </w:tblCellMar>
      </w:tblPr>
      <w:tblGrid>
        <w:gridCol w:w="591"/>
        <w:gridCol w:w="1613"/>
        <w:gridCol w:w="4425"/>
        <w:gridCol w:w="1481"/>
        <w:gridCol w:w="4932"/>
        <w:gridCol w:w="917"/>
      </w:tblGrid>
      <w:tr>
        <w:tblPrEx>
          <w:tblCellMar>
            <w:top w:w="0" w:type="dxa"/>
            <w:left w:w="108" w:type="dxa"/>
            <w:bottom w:w="0" w:type="dxa"/>
            <w:right w:w="108" w:type="dxa"/>
          </w:tblCellMar>
        </w:tblPrEx>
        <w:trPr>
          <w:trHeight w:val="495" w:hRule="atLeast"/>
        </w:trPr>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方正黑体_GBK" w:hAnsi="方正黑体_GBK" w:eastAsia="方正黑体_GBK" w:cs="方正黑体_GBK"/>
                <w:color w:val="000000"/>
                <w:kern w:val="0"/>
                <w:sz w:val="24"/>
                <w:lang w:bidi="ar"/>
              </w:rPr>
            </w:pPr>
            <w:r>
              <w:rPr>
                <w:rFonts w:hint="eastAsia" w:ascii="方正黑体_GBK" w:hAnsi="方正黑体_GBK" w:eastAsia="方正黑体_GBK" w:cs="方正黑体_GBK"/>
                <w:color w:val="000000"/>
                <w:kern w:val="0"/>
                <w:sz w:val="28"/>
                <w:szCs w:val="28"/>
                <w:vertAlign w:val="baseline"/>
                <w:lang w:val="en-US" w:eastAsia="zh-CN"/>
              </w:rPr>
              <w:t>序号</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方正黑体_GBK" w:hAnsi="方正黑体_GBK" w:eastAsia="方正黑体_GBK" w:cs="方正黑体_GBK"/>
                <w:color w:val="000000"/>
                <w:kern w:val="0"/>
                <w:sz w:val="24"/>
                <w:lang w:bidi="ar"/>
              </w:rPr>
            </w:pPr>
            <w:r>
              <w:rPr>
                <w:rFonts w:hint="eastAsia" w:ascii="方正黑体_GBK" w:hAnsi="方正黑体_GBK" w:eastAsia="方正黑体_GBK" w:cs="方正黑体_GBK"/>
                <w:color w:val="000000"/>
                <w:kern w:val="0"/>
                <w:sz w:val="28"/>
                <w:szCs w:val="28"/>
                <w:vertAlign w:val="baseline"/>
                <w:lang w:val="en-US" w:eastAsia="zh-CN"/>
              </w:rPr>
              <w:t>事项名称</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方正黑体_GBK" w:hAnsi="方正黑体_GBK" w:eastAsia="方正黑体_GBK" w:cs="方正黑体_GBK"/>
                <w:color w:val="000000"/>
                <w:kern w:val="0"/>
                <w:sz w:val="24"/>
                <w:lang w:bidi="ar"/>
              </w:rPr>
            </w:pPr>
            <w:r>
              <w:rPr>
                <w:rFonts w:hint="eastAsia" w:ascii="方正黑体_GBK" w:hAnsi="方正黑体_GBK" w:eastAsia="方正黑体_GBK" w:cs="方正黑体_GBK"/>
                <w:color w:val="000000"/>
                <w:kern w:val="0"/>
                <w:sz w:val="28"/>
                <w:szCs w:val="28"/>
                <w:vertAlign w:val="baseline"/>
                <w:lang w:val="en-US" w:eastAsia="zh-CN"/>
              </w:rPr>
              <w:t>设定依据</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rPr>
            </w:pPr>
            <w:r>
              <w:rPr>
                <w:rFonts w:hint="eastAsia" w:ascii="方正黑体_GBK" w:hAnsi="方正黑体_GBK" w:eastAsia="方正黑体_GBK" w:cs="方正黑体_GBK"/>
                <w:color w:val="000000"/>
                <w:kern w:val="0"/>
                <w:sz w:val="28"/>
                <w:szCs w:val="28"/>
                <w:vertAlign w:val="baseline"/>
                <w:lang w:val="en-US" w:eastAsia="zh-CN"/>
              </w:rPr>
              <w:t>对应权力</w:t>
            </w:r>
          </w:p>
          <w:p>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方正黑体_GBK" w:hAnsi="方正黑体_GBK" w:eastAsia="方正黑体_GBK" w:cs="方正黑体_GBK"/>
                <w:color w:val="000000"/>
                <w:kern w:val="0"/>
                <w:sz w:val="24"/>
                <w:lang w:bidi="ar"/>
              </w:rPr>
            </w:pPr>
            <w:r>
              <w:rPr>
                <w:rFonts w:hint="eastAsia" w:ascii="方正黑体_GBK" w:hAnsi="方正黑体_GBK" w:eastAsia="方正黑体_GBK" w:cs="方正黑体_GBK"/>
                <w:color w:val="000000"/>
                <w:kern w:val="0"/>
                <w:sz w:val="28"/>
                <w:szCs w:val="28"/>
                <w:vertAlign w:val="baseline"/>
                <w:lang w:val="en-US" w:eastAsia="zh-CN"/>
              </w:rPr>
              <w:t>事项名称</w:t>
            </w:r>
          </w:p>
        </w:tc>
        <w:tc>
          <w:tcPr>
            <w:tcW w:w="493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ascii="方正黑体_GBK" w:hAnsi="方正黑体_GBK" w:eastAsia="方正黑体_GBK" w:cs="方正黑体_GBK"/>
                <w:color w:val="000000"/>
                <w:kern w:val="0"/>
                <w:sz w:val="24"/>
                <w:lang w:bidi="ar"/>
              </w:rPr>
            </w:pPr>
            <w:r>
              <w:rPr>
                <w:rFonts w:hint="eastAsia" w:ascii="方正黑体_GBK" w:hAnsi="方正黑体_GBK" w:eastAsia="方正黑体_GBK" w:cs="方正黑体_GBK"/>
                <w:color w:val="000000"/>
                <w:kern w:val="0"/>
                <w:sz w:val="28"/>
                <w:szCs w:val="28"/>
                <w:vertAlign w:val="baseline"/>
                <w:lang w:val="en-US" w:eastAsia="zh-CN"/>
              </w:rPr>
              <w:t>规范内容</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方正黑体_GBK" w:hAnsi="方正黑体_GBK" w:eastAsia="方正黑体_GBK" w:cs="方正黑体_GBK"/>
                <w:color w:val="000000"/>
                <w:kern w:val="0"/>
                <w:sz w:val="24"/>
                <w:lang w:bidi="ar"/>
              </w:rPr>
            </w:pPr>
            <w:r>
              <w:rPr>
                <w:rFonts w:hint="eastAsia" w:ascii="方正黑体_GBK" w:hAnsi="方正黑体_GBK" w:eastAsia="方正黑体_GBK" w:cs="方正黑体_GBK"/>
                <w:sz w:val="28"/>
                <w:szCs w:val="28"/>
              </w:rPr>
              <w:t>备注</w:t>
            </w:r>
          </w:p>
        </w:tc>
      </w:tr>
      <w:tr>
        <w:tblPrEx>
          <w:tblCellMar>
            <w:top w:w="0" w:type="dxa"/>
            <w:left w:w="108" w:type="dxa"/>
            <w:bottom w:w="0" w:type="dxa"/>
            <w:right w:w="108" w:type="dxa"/>
          </w:tblCellMar>
        </w:tblPrEx>
        <w:trPr>
          <w:trHeight w:val="375" w:hRule="atLeast"/>
        </w:trPr>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both"/>
              <w:textAlignment w:val="auto"/>
              <w:rPr>
                <w:rFonts w:ascii="黑体" w:hAnsi="宋体" w:eastAsia="黑体" w:cs="黑体"/>
                <w:color w:val="000000"/>
                <w:sz w:val="24"/>
              </w:rPr>
            </w:pPr>
            <w:r>
              <w:rPr>
                <w:rFonts w:hint="eastAsia" w:ascii="方正仿宋_GBK" w:hAnsi="方正仿宋_GBK" w:eastAsia="方正仿宋_GBK" w:cs="方正仿宋_GBK"/>
                <w:color w:val="000000"/>
                <w:kern w:val="0"/>
                <w:sz w:val="24"/>
                <w:szCs w:val="24"/>
                <w:vertAlign w:val="baseline"/>
                <w:lang w:val="en-US" w:eastAsia="zh-CN"/>
              </w:rPr>
              <w:t>1</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rightChars="0" w:firstLine="0" w:firstLineChars="0"/>
              <w:jc w:val="both"/>
              <w:textAlignment w:val="auto"/>
              <w:rPr>
                <w:rFonts w:ascii="方正黑体_GBK" w:hAnsi="方正黑体_GBK" w:eastAsia="方正黑体_GBK" w:cs="方正黑体_GBK"/>
                <w:color w:val="000000"/>
                <w:kern w:val="0"/>
                <w:sz w:val="24"/>
                <w:lang w:bidi="ar"/>
              </w:rPr>
            </w:pPr>
            <w:r>
              <w:rPr>
                <w:rFonts w:hint="eastAsia" w:ascii="宋体" w:hAnsi="宋体" w:eastAsia="宋体" w:cs="宋体"/>
                <w:color w:val="000000"/>
                <w:kern w:val="0"/>
                <w:sz w:val="24"/>
                <w:szCs w:val="24"/>
                <w:vertAlign w:val="baseline"/>
                <w:lang w:eastAsia="zh-CN"/>
              </w:rPr>
              <w:t>文物保护单位修缮方案编制</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文物保护法》（2015年修改）第二十一条第二、三款：对文物保护单位进行修缮，应当根据文物保护单位的级别报相应的文物行政部门批准；对未核定为文物保护单位的不可移动文物进行修缮，应当报登记的县级人民政府文物行政部门批准。文物保护单位的修缮、迁移、重建，由取得文物保护工程资质证书的单位承担。</w:t>
            </w:r>
          </w:p>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宋体" w:hAnsi="宋体" w:eastAsia="宋体" w:cs="宋体"/>
                <w:color w:val="000000"/>
                <w:kern w:val="0"/>
                <w:sz w:val="24"/>
                <w:lang w:bidi="ar"/>
              </w:rPr>
            </w:pP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rightChars="0" w:firstLine="0" w:firstLineChars="0"/>
              <w:jc w:val="left"/>
              <w:textAlignment w:val="auto"/>
              <w:rPr>
                <w:rFonts w:ascii="方正黑体_GBK" w:hAnsi="方正黑体_GBK" w:eastAsia="方正黑体_GBK" w:cs="方正黑体_GBK"/>
                <w:color w:val="000000"/>
                <w:kern w:val="0"/>
                <w:sz w:val="24"/>
                <w:lang w:bidi="ar"/>
              </w:rPr>
            </w:pPr>
            <w:r>
              <w:rPr>
                <w:rFonts w:hint="eastAsia" w:ascii="宋体" w:hAnsi="宋体" w:eastAsia="宋体" w:cs="宋体"/>
                <w:color w:val="000000"/>
                <w:kern w:val="0"/>
                <w:sz w:val="24"/>
                <w:szCs w:val="24"/>
                <w:vertAlign w:val="baseline"/>
                <w:lang w:val="en-US" w:eastAsia="zh-CN"/>
              </w:rPr>
              <w:t>不可移动文物修缮审批</w:t>
            </w:r>
          </w:p>
        </w:tc>
        <w:tc>
          <w:tcPr>
            <w:tcW w:w="493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2"/>
                <w:sz w:val="24"/>
                <w:szCs w:val="24"/>
                <w:u w:val="none"/>
                <w:lang w:val="en-US" w:eastAsia="zh-CN" w:bidi="ar-SA"/>
              </w:rPr>
            </w:pPr>
            <w:bookmarkStart w:id="0" w:name="_GoBack"/>
            <w:bookmarkEnd w:id="0"/>
            <w:r>
              <w:rPr>
                <w:rFonts w:hint="eastAsia" w:ascii="宋体" w:hAnsi="宋体" w:eastAsia="宋体" w:cs="宋体"/>
                <w:i w:val="0"/>
                <w:iCs w:val="0"/>
                <w:color w:val="000000"/>
                <w:kern w:val="2"/>
                <w:sz w:val="24"/>
                <w:szCs w:val="24"/>
                <w:u w:val="none"/>
                <w:lang w:val="en-US" w:eastAsia="zh-CN" w:bidi="ar-SA"/>
              </w:rPr>
              <w:t>申请人可按要求自行编制市级、县级文物保护单位修缮方案，也可委托有关机构编制，审批部门不得以任何形式要求申请人必须委托特定中介机构提供服务；保留审批部门现有的修缮方案技术评估、评审。</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黑体_GBK" w:hAnsi="方正黑体_GBK" w:eastAsia="方正黑体_GBK" w:cs="方正黑体_GBK"/>
                <w:color w:val="000000"/>
                <w:kern w:val="0"/>
                <w:sz w:val="24"/>
                <w:lang w:val="en-US" w:bidi="ar"/>
              </w:rPr>
            </w:pPr>
            <w:r>
              <w:rPr>
                <w:rFonts w:hint="eastAsia" w:ascii="宋体" w:hAnsi="宋体" w:eastAsia="宋体" w:cs="宋体"/>
                <w:i w:val="0"/>
                <w:iCs w:val="0"/>
                <w:color w:val="000000"/>
                <w:kern w:val="2"/>
                <w:sz w:val="24"/>
                <w:szCs w:val="24"/>
                <w:u w:val="none"/>
                <w:lang w:val="en-US" w:eastAsia="zh-CN" w:bidi="ar-SA"/>
              </w:rPr>
              <w:t>主要理由：根据《国务院关于第二批清理规范192项国务院部门行政审批中介服务事项的决定》（国发〔2016〕11号）附件目录第159项。</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黑体" w:hAnsi="宋体" w:eastAsia="黑体" w:cs="黑体"/>
                <w:color w:val="000000"/>
                <w:sz w:val="24"/>
              </w:rPr>
            </w:pPr>
          </w:p>
        </w:tc>
      </w:tr>
      <w:tr>
        <w:tblPrEx>
          <w:tblCellMar>
            <w:top w:w="0" w:type="dxa"/>
            <w:left w:w="108" w:type="dxa"/>
            <w:bottom w:w="0" w:type="dxa"/>
            <w:right w:w="108" w:type="dxa"/>
          </w:tblCellMar>
        </w:tblPrEx>
        <w:trPr>
          <w:trHeight w:val="2107"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360" w:lineRule="exact"/>
              <w:ind w:left="0" w:leftChars="0" w:right="0" w:rightChars="0" w:firstLine="0" w:firstLineChars="0"/>
              <w:jc w:val="both"/>
              <w:textAlignment w:val="auto"/>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szCs w:val="24"/>
                <w:vertAlign w:val="baseline"/>
                <w:lang w:val="en-US" w:eastAsia="zh-CN"/>
              </w:rPr>
              <w:t>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rightChars="0" w:firstLine="0" w:firstLineChars="0"/>
              <w:jc w:val="both"/>
              <w:textAlignment w:val="auto"/>
              <w:rPr>
                <w:rFonts w:ascii="方正仿宋_GBK" w:hAnsi="方正仿宋_GBK" w:eastAsia="方正仿宋_GBK" w:cs="方正仿宋_GBK"/>
                <w:color w:val="000000"/>
                <w:sz w:val="24"/>
              </w:rPr>
            </w:pPr>
            <w:r>
              <w:rPr>
                <w:rFonts w:hint="eastAsia" w:ascii="宋体" w:hAnsi="宋体" w:eastAsia="宋体" w:cs="宋体"/>
                <w:color w:val="000000"/>
                <w:kern w:val="0"/>
                <w:sz w:val="24"/>
                <w:szCs w:val="24"/>
                <w:vertAlign w:val="baseline"/>
                <w:lang w:eastAsia="zh-CN"/>
              </w:rPr>
              <w:t>广播电视专用频段频率使用许可所需的技术评估报告编制</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1.《广播电视管理条例》（1997年8月11日国务院令第228号发布，2013年12月7日第一次修订，2017年3月1日第二次修订，2020年12月1日第三次修订）第十八条：国务院广播电视行政部门负责指配广播电视专用频段的频率，并核发频率专用指配证明。</w:t>
            </w:r>
          </w:p>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2. 《广播电视无线传输覆盖网管理办法》（2022年9月26日国家广播电视总局令第13号公布）第二十二条　持有《广播电视节目传送业务许可证（无线）》的单位，申请使用下列业务的广播电视频率，应当向所在地县级以上人民政府广播电视主管部门提出申请，逐级上报广电总局审批，领取《广播电视频率使用许可证（甲类）》：（一）中、短波广播；（二）调频广播（使用发射机标称功率50瓦（不含）以上发射设备）；（三）调频同步广播；（四）地面数字声音广播；（五）地面数字电视广播。许可证有效期不超过十年。有效期届满需继续开展业务的，应当于届满前六个月按照本办法规定的审批程序办理手续。</w:t>
            </w:r>
          </w:p>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第二十三条第一款至第二款　持有《广播电视节目传送业务经营许可证（无线）》的单位，申请使用发射机标称功率50瓦（含）以下转播已批准开办的广播节目、应急广播信息的小功率调频广播频率，广电总局委托省级人民政府广播电视主管部门审批。申请单位向所在地县级人民政府广播电视主管部门提出申请，逐级上报省级人民政府广播电视主管部门审批，领取《广播电视频率使用许可证（乙类）》。</w:t>
            </w:r>
          </w:p>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    第二十四条　持有《广播电视节目传送业务经营许可证（无线）》的单位，申请使用广播电视频率传输广播电视节目，应当提供下列材料：（二）申请使用的广播电视频率涉及修改和调整广播电视覆盖网规划的，提供技术评估报告和与相关部门或单位的协调文件。</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rightChars="0" w:firstLine="0" w:firstLineChars="0"/>
              <w:jc w:val="left"/>
              <w:textAlignment w:val="auto"/>
              <w:rPr>
                <w:rFonts w:ascii="方正仿宋_GBK" w:hAnsi="方正仿宋_GBK" w:eastAsia="方正仿宋_GBK" w:cs="方正仿宋_GBK"/>
                <w:color w:val="000000"/>
                <w:sz w:val="24"/>
              </w:rPr>
            </w:pPr>
            <w:r>
              <w:rPr>
                <w:rFonts w:hint="eastAsia" w:ascii="宋体" w:hAnsi="宋体" w:eastAsia="宋体" w:cs="宋体"/>
                <w:color w:val="000000"/>
                <w:kern w:val="0"/>
                <w:sz w:val="24"/>
                <w:szCs w:val="24"/>
                <w:vertAlign w:val="baseline"/>
                <w:lang w:val="en-US" w:eastAsia="zh-CN"/>
              </w:rPr>
              <w:t>广播电视专用频段频率使用许可</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方正仿宋_GBK" w:hAnsi="方正仿宋_GBK" w:eastAsia="方正仿宋_GBK" w:cs="方正仿宋_GBK"/>
                <w:color w:val="000000"/>
                <w:sz w:val="24"/>
              </w:rPr>
            </w:pPr>
            <w:r>
              <w:rPr>
                <w:rFonts w:hint="eastAsia" w:ascii="宋体" w:hAnsi="宋体" w:eastAsia="宋体" w:cs="宋体"/>
                <w:i w:val="0"/>
                <w:iCs w:val="0"/>
                <w:color w:val="000000"/>
                <w:kern w:val="2"/>
                <w:sz w:val="24"/>
                <w:szCs w:val="24"/>
                <w:u w:val="none"/>
                <w:lang w:val="en-US" w:eastAsia="zh-CN" w:bidi="ar-SA"/>
              </w:rPr>
              <w:t>申请人可按要求自行编制技术评估报告，也可委托有关机构编制，部门不得以任何形式要求申请人必须委托特定中介机构提供服务。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方正仿宋_GBK" w:hAnsi="方正仿宋_GBK" w:eastAsia="方正仿宋_GBK" w:cs="方正仿宋_GBK"/>
                <w:color w:val="000000"/>
                <w:sz w:val="24"/>
              </w:rPr>
            </w:pPr>
          </w:p>
        </w:tc>
      </w:tr>
    </w:tbl>
    <w:p>
      <w:pPr>
        <w:spacing w:line="320" w:lineRule="exact"/>
        <w:jc w:val="center"/>
        <w:rPr>
          <w:rFonts w:ascii="方正小标宋_GBK" w:hAnsi="方正小标宋_GBK" w:eastAsia="方正小标宋_GBK" w:cs="方正小标宋_GBK"/>
          <w:sz w:val="24"/>
        </w:rPr>
      </w:pPr>
    </w:p>
    <w:p>
      <w:pPr>
        <w:spacing w:line="320" w:lineRule="exact"/>
        <w:jc w:val="center"/>
        <w:rPr>
          <w:rFonts w:ascii="方正小标宋_GBK" w:hAnsi="方正小标宋_GBK" w:eastAsia="方正小标宋_GBK" w:cs="方正小标宋_GBK"/>
          <w:sz w:val="24"/>
        </w:rPr>
      </w:pPr>
    </w:p>
    <w:p>
      <w:pPr>
        <w:spacing w:line="320" w:lineRule="exact"/>
        <w:jc w:val="center"/>
        <w:rPr>
          <w:rFonts w:ascii="方正小标宋_GBK" w:hAnsi="方正小标宋_GBK" w:eastAsia="方正小标宋_GBK" w:cs="方正小标宋_GBK"/>
          <w:sz w:val="24"/>
        </w:rPr>
      </w:pPr>
    </w:p>
    <w:p>
      <w:pPr>
        <w:spacing w:line="320" w:lineRule="exact"/>
        <w:jc w:val="both"/>
        <w:rPr>
          <w:rFonts w:ascii="方正小标宋_GBK" w:hAnsi="方正小标宋_GBK" w:eastAsia="方正小标宋_GBK" w:cs="方正小标宋_GBK"/>
          <w:sz w:val="24"/>
        </w:rPr>
      </w:pPr>
    </w:p>
    <w:p>
      <w:pPr>
        <w:spacing w:line="320" w:lineRule="exact"/>
        <w:jc w:val="center"/>
        <w:rPr>
          <w:rFonts w:ascii="方正小标宋_GBK" w:hAnsi="方正小标宋_GBK" w:eastAsia="方正小标宋_GBK" w:cs="方正小标宋_GBK"/>
          <w:sz w:val="24"/>
        </w:rPr>
      </w:pPr>
    </w:p>
    <w:p>
      <w:pPr>
        <w:spacing w:line="320" w:lineRule="exact"/>
        <w:rPr>
          <w:rFonts w:ascii="方正小标宋_GBK" w:hAnsi="方正小标宋_GBK" w:eastAsia="方正小标宋_GBK" w:cs="方正小标宋_GBK"/>
          <w:sz w:val="24"/>
        </w:rPr>
      </w:pPr>
    </w:p>
    <w:sectPr>
      <w:footerReference r:id="rId3" w:type="default"/>
      <w:pgSz w:w="16838" w:h="11906" w:orient="landscape"/>
      <w:pgMar w:top="1984" w:right="1417" w:bottom="1417" w:left="141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6548"/>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E101D"/>
    <w:multiLevelType w:val="singleLevel"/>
    <w:tmpl w:val="4B7E101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0172C"/>
    <w:rsid w:val="000F5E8D"/>
    <w:rsid w:val="006F499F"/>
    <w:rsid w:val="006F5E96"/>
    <w:rsid w:val="00A11F3B"/>
    <w:rsid w:val="00B023C0"/>
    <w:rsid w:val="05160291"/>
    <w:rsid w:val="1DA67F8D"/>
    <w:rsid w:val="39674BE9"/>
    <w:rsid w:val="42922312"/>
    <w:rsid w:val="50E976CB"/>
    <w:rsid w:val="5A644512"/>
    <w:rsid w:val="5F011227"/>
    <w:rsid w:val="601378AE"/>
    <w:rsid w:val="6680172C"/>
    <w:rsid w:val="67666AFC"/>
    <w:rsid w:val="6DD83B91"/>
    <w:rsid w:val="7F6EF943"/>
    <w:rsid w:val="BEFD7205"/>
    <w:rsid w:val="EFF7989D"/>
    <w:rsid w:val="FB9BF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478</Words>
  <Characters>484</Characters>
  <Lines>28</Lines>
  <Paragraphs>8</Paragraphs>
  <TotalTime>10</TotalTime>
  <ScaleCrop>false</ScaleCrop>
  <LinksUpToDate>false</LinksUpToDate>
  <CharactersWithSpaces>485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2021-07-06T01:53:00Z</dcterms:created>
  <dc:creator>秋雨</dc:creator>
  <cp:lastModifiedBy>greatwall</cp:lastModifiedBy>
  <cp:lastPrinted>2026-01-06T15:22:21Z</cp:lastPrinted>
  <dcterms:modified xsi:type="dcterms:W3CDTF">2026-01-06T15:22:49Z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E43151BA19D14D3D9482E4ADE991A5DC</vt:lpwstr>
  </property>
  <property fmtid="{D5CDD505-2E9C-101B-9397-08002B2CF9AE}" pid="4" name="KSOSaveFontToCloudKey">
    <vt:lpwstr>391860796_btnclosed</vt:lpwstr>
  </property>
  <property fmtid="{D5CDD505-2E9C-101B-9397-08002B2CF9AE}" pid="5" name="KSOTemplateDocerSaveRecord">
    <vt:lpwstr>eyJoZGlkIjoiZjdhYmJjNzJlMmY1ZmU5ZjE5ZDM4NDdkZDQzYjZkZGQiLCJ1c2VySWQiOiI1NzE3MDg2NTkifQ==</vt:lpwstr>
  </property>
</Properties>
</file>