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s="Times New Roman"/>
          <w:sz w:val="32"/>
          <w:szCs w:val="32"/>
          <w:lang w:val="en-US" w:eastAsia="zh-CN"/>
        </w:rPr>
      </w:pPr>
      <w:r>
        <w:rPr>
          <w:rFonts w:hint="eastAsia" w:ascii="方正仿宋_GBK" w:hAnsi="方正仿宋_GBK" w:eastAsia="方正仿宋_GBK" w:cs="方正仿宋_GBK"/>
          <w:sz w:val="32"/>
          <w:szCs w:val="32"/>
        </w:rPr>
        <w:t>附件</w:t>
      </w:r>
      <w:r>
        <w:rPr>
          <w:rFonts w:hint="eastAsia" w:eastAsia="仿宋_GB2312" w:cs="Times New Roman"/>
          <w:sz w:val="32"/>
          <w:szCs w:val="32"/>
          <w:lang w:val="en-US" w:eastAsia="zh-CN"/>
        </w:rPr>
        <w:t>3</w:t>
      </w:r>
      <w:bookmarkStart w:id="0" w:name="_GoBack"/>
      <w:bookmarkEnd w:id="0"/>
    </w:p>
    <w:p>
      <w:pPr>
        <w:pStyle w:val="2"/>
        <w:rPr>
          <w:rFonts w:hint="eastAsia"/>
        </w:rPr>
      </w:pPr>
    </w:p>
    <w:p>
      <w:pPr>
        <w:jc w:val="center"/>
        <w:rPr>
          <w:rFonts w:hint="default" w:ascii="方正小标宋简体" w:hAnsi="Times New Roman" w:eastAsia="方正小标宋简体" w:cs="Times New Roman"/>
          <w:sz w:val="40"/>
          <w:szCs w:val="40"/>
          <w:lang w:val="en"/>
        </w:rPr>
      </w:pPr>
      <w:r>
        <w:rPr>
          <w:rFonts w:hint="eastAsia" w:ascii="方正小标宋简体" w:hAnsi="Times New Roman" w:eastAsia="方正小标宋简体" w:cs="Times New Roman"/>
          <w:sz w:val="40"/>
          <w:szCs w:val="40"/>
        </w:rPr>
        <w:t>数字创意产业纳入战略性新兴产业分类表</w:t>
      </w:r>
      <w:r>
        <w:rPr>
          <w:rFonts w:hint="default" w:ascii="方正小标宋简体" w:hAnsi="Times New Roman" w:eastAsia="方正小标宋简体" w:cs="Times New Roman"/>
          <w:sz w:val="40"/>
          <w:szCs w:val="40"/>
          <w:lang w:val="en"/>
        </w:rPr>
        <w:t>(2018)</w:t>
      </w:r>
    </w:p>
    <w:p>
      <w:pPr>
        <w:rPr>
          <w:rFonts w:ascii="Times New Roman" w:hAnsi="Times New Roman" w:eastAsia="方正小标宋_GBK" w:cs="Times New Roman"/>
          <w:sz w:val="44"/>
          <w:szCs w:val="44"/>
        </w:rPr>
      </w:pPr>
    </w:p>
    <w:tbl>
      <w:tblPr>
        <w:tblStyle w:val="5"/>
        <w:tblW w:w="9483"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017"/>
        <w:gridCol w:w="1577"/>
        <w:gridCol w:w="821"/>
        <w:gridCol w:w="1750"/>
        <w:gridCol w:w="431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黑体" w:hAnsi="黑体" w:eastAsia="黑体" w:cs="Times New Roman"/>
                <w:color w:val="000000"/>
                <w:kern w:val="0"/>
                <w:sz w:val="20"/>
                <w:szCs w:val="20"/>
              </w:rPr>
            </w:pPr>
            <w:r>
              <w:rPr>
                <w:rFonts w:hint="eastAsia" w:ascii="黑体" w:hAnsi="黑体" w:eastAsia="黑体" w:cs="Times New Roman"/>
                <w:color w:val="000000"/>
                <w:kern w:val="0"/>
                <w:sz w:val="20"/>
                <w:szCs w:val="20"/>
              </w:rPr>
              <w:t>代码</w:t>
            </w:r>
          </w:p>
          <w:p>
            <w:pPr>
              <w:widowControl/>
              <w:spacing w:line="320" w:lineRule="exact"/>
              <w:jc w:val="left"/>
              <w:rPr>
                <w:rFonts w:ascii="Times New Roman" w:hAnsi="Times New Roman" w:eastAsia="仿宋_GB2312" w:cs="Times New Roman"/>
                <w:color w:val="000000"/>
                <w:kern w:val="0"/>
                <w:sz w:val="20"/>
                <w:szCs w:val="20"/>
              </w:rPr>
            </w:pPr>
          </w:p>
          <w:p>
            <w:pPr>
              <w:widowControl/>
              <w:spacing w:line="320" w:lineRule="exact"/>
              <w:jc w:val="left"/>
              <w:rPr>
                <w:rFonts w:ascii="Times New Roman" w:hAnsi="Times New Roman" w:eastAsia="仿宋_GB2312" w:cs="Times New Roman"/>
                <w:color w:val="000000"/>
                <w:kern w:val="0"/>
                <w:sz w:val="20"/>
                <w:szCs w:val="20"/>
              </w:rPr>
            </w:pP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w:t>
            </w:r>
          </w:p>
        </w:tc>
        <w:tc>
          <w:tcPr>
            <w:tcW w:w="1577" w:type="dxa"/>
            <w:vAlign w:val="top"/>
          </w:tcPr>
          <w:p>
            <w:pPr>
              <w:widowControl/>
              <w:spacing w:line="320" w:lineRule="exact"/>
              <w:jc w:val="left"/>
              <w:rPr>
                <w:rFonts w:ascii="黑体" w:hAnsi="黑体" w:eastAsia="黑体" w:cs="Times New Roman"/>
                <w:color w:val="000000"/>
                <w:kern w:val="0"/>
                <w:sz w:val="20"/>
                <w:szCs w:val="20"/>
              </w:rPr>
            </w:pPr>
            <w:r>
              <w:rPr>
                <w:rFonts w:hint="eastAsia" w:ascii="黑体" w:hAnsi="黑体" w:eastAsia="黑体" w:cs="Times New Roman"/>
                <w:color w:val="000000"/>
                <w:kern w:val="0"/>
                <w:sz w:val="20"/>
                <w:szCs w:val="20"/>
              </w:rPr>
              <w:t>战略性新兴产业分类名称</w:t>
            </w:r>
          </w:p>
          <w:p>
            <w:pPr>
              <w:widowControl/>
              <w:spacing w:line="320" w:lineRule="exact"/>
              <w:jc w:val="left"/>
              <w:rPr>
                <w:rFonts w:ascii="Times New Roman" w:hAnsi="Times New Roman" w:eastAsia="仿宋_GB2312" w:cs="Times New Roman"/>
                <w:color w:val="000000"/>
                <w:kern w:val="0"/>
                <w:sz w:val="20"/>
                <w:szCs w:val="20"/>
              </w:rPr>
            </w:pP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数字创意产业</w:t>
            </w:r>
          </w:p>
        </w:tc>
        <w:tc>
          <w:tcPr>
            <w:tcW w:w="821" w:type="dxa"/>
            <w:vAlign w:val="top"/>
          </w:tcPr>
          <w:p>
            <w:pPr>
              <w:widowControl/>
              <w:spacing w:line="320" w:lineRule="exact"/>
              <w:jc w:val="left"/>
              <w:rPr>
                <w:rFonts w:ascii="黑体" w:hAnsi="黑体" w:eastAsia="黑体" w:cs="Times New Roman"/>
                <w:color w:val="000000"/>
                <w:kern w:val="0"/>
                <w:sz w:val="20"/>
                <w:szCs w:val="20"/>
              </w:rPr>
            </w:pPr>
            <w:r>
              <w:rPr>
                <w:rFonts w:hint="eastAsia" w:ascii="黑体" w:hAnsi="黑体" w:eastAsia="黑体" w:cs="Times New Roman"/>
                <w:color w:val="000000"/>
                <w:kern w:val="0"/>
                <w:sz w:val="20"/>
                <w:szCs w:val="20"/>
              </w:rPr>
              <w:t>国民经济行业代码</w:t>
            </w:r>
          </w:p>
        </w:tc>
        <w:tc>
          <w:tcPr>
            <w:tcW w:w="1750" w:type="dxa"/>
            <w:vAlign w:val="top"/>
          </w:tcPr>
          <w:p>
            <w:pPr>
              <w:widowControl/>
              <w:spacing w:line="320" w:lineRule="exact"/>
              <w:jc w:val="left"/>
              <w:rPr>
                <w:rFonts w:ascii="黑体" w:hAnsi="黑体" w:eastAsia="黑体" w:cs="Times New Roman"/>
                <w:color w:val="000000"/>
                <w:kern w:val="0"/>
                <w:sz w:val="20"/>
                <w:szCs w:val="20"/>
              </w:rPr>
            </w:pPr>
            <w:r>
              <w:rPr>
                <w:rFonts w:hint="eastAsia" w:ascii="黑体" w:hAnsi="黑体" w:eastAsia="黑体" w:cs="Times New Roman"/>
                <w:color w:val="000000"/>
                <w:kern w:val="0"/>
                <w:sz w:val="20"/>
                <w:szCs w:val="20"/>
              </w:rPr>
              <w:t>国民经济行业名称</w:t>
            </w:r>
          </w:p>
        </w:tc>
        <w:tc>
          <w:tcPr>
            <w:tcW w:w="4318" w:type="dxa"/>
            <w:vAlign w:val="top"/>
          </w:tcPr>
          <w:p>
            <w:pPr>
              <w:widowControl/>
              <w:spacing w:line="320" w:lineRule="exact"/>
              <w:jc w:val="left"/>
              <w:rPr>
                <w:rFonts w:ascii="黑体" w:hAnsi="黑体" w:eastAsia="黑体" w:cs="Times New Roman"/>
                <w:color w:val="000000"/>
                <w:kern w:val="0"/>
                <w:sz w:val="20"/>
                <w:szCs w:val="20"/>
              </w:rPr>
            </w:pPr>
            <w:r>
              <w:rPr>
                <w:rFonts w:hint="eastAsia" w:ascii="黑体" w:hAnsi="黑体" w:eastAsia="黑体" w:cs="Times New Roman"/>
                <w:color w:val="000000"/>
                <w:kern w:val="0"/>
                <w:sz w:val="20"/>
                <w:szCs w:val="20"/>
              </w:rPr>
              <w:t>重点产品和服务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8.1</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数字创意技术设备制造</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37"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8.1.0</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数字创意技术</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3471*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电影机械制造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数字电影机械及设备制造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设备制造</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3931*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广播电视节目制作及发射设备制造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数字广播电视发射设备</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数字电视广播前端设备（摄像、录制、编辑、存</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储、播放等数字电视前端设备）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传输网设备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下一代融合媒体分发网设备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移动多媒体广播发射设备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移动多媒体广播接收设备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高清/超高清广播电视制播设备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3932*</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广播电视接收设备制造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下一代广播电视网接入网设备</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地面数字广播电视接收设备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家庭桥接设备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家庭网关设备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接入网设备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电视卫星直播业务（卫星数字音频广播）和互联网宽带接入等四大业务相关的地面终端设备及其关键配套件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下一代广播电视网宽带接入设备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下一代广播电视网宽带接收设备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下一代广播电视骨干网交换设备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下一代广播电视传输设备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地面数字电视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新型／便携信息接受显示终端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高清、低照度、宽动态、无线视频监控系统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3934*</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专业音响设备制造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数字专业音响设备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3939*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应用电视设备及其他广播电视设备制造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视频监控存储设备</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视频监控处理设备</w:t>
            </w:r>
          </w:p>
          <w:p>
            <w:pPr>
              <w:widowControl/>
              <w:spacing w:line="320" w:lineRule="exact"/>
              <w:jc w:val="left"/>
              <w:rPr>
                <w:rFonts w:ascii="Times New Roman" w:hAnsi="Times New Roman" w:eastAsia="仿宋_GB2312"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3951*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电视机制造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交互电视机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节能电视机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3D电视机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OLED电视机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激光投影电视机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网络及智能电视机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高清/超高清电视机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新型数字显示终端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3952*</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音响设备制造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高保真超薄音响产品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全息大容量可刻录3D播放器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高保真新一代光盘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专用数字音响系统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数字功放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车载数字音视频接收播放终端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3969*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其他智能消费设备制造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虚拟现实、数字技术制播放设备（指虚拟现实、增强现实、全息成像、裸眼3D、交互娱乐引擎开发、文化资源数字化处理、互动影视等领域先进装备，包括虚拟现实头戴显示设备和增强现实眼镜等数据手套、游戏控制器等动作感知、追踪定位和人机交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个人穿戴虚拟现实设备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虚拟现实头戴显示设备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混合现实娱乐设备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VR制播放装备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数据手套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游戏控制器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动作感知装置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追踪定位装置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其他人机交互装置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增强现实眼镜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文化场馆数字化装备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8.2</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数字文化创意活动</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8.2.1</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数字文化创意软件开发</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6513*</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应用软件开发</w:t>
            </w:r>
          </w:p>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虚拟现实处理软件</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动漫游戏制作引擎软件和开发系统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家庭娱乐产品软件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数字文化产品制作软件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数字文化创意软件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教育行业软件、新闻行业软件、文化内容行业软件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游戏动漫软件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数字出版软件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8.2.2</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数字文化创意内容制作服务</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6572</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动漫、游戏数字内容服务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6"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6579*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其他数字内容服务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数字影视开发制作</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数字演出开发制作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16"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数字音乐开发制作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数字艺术品开发制作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电子出版物开发制作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数字广告开发制作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数字移动多媒体开发制作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8.2.3</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新型媒体服务</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6429*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互联网其他信息服务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网络图书馆服务</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数字家庭图书馆服务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数字电视电影院线服务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网络广播服务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互联网电视服务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交互式网络电视（IPTV）服务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互联网社交服务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手机新媒体服务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6579*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其他数字内容服务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新媒体数字化制作服务</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数字媒体版权保护服务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8626</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数字出版</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8.2.4</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数字文化创意广播电视服务</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6321*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有线广播电视传输服务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高清/超高清电视服务</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3D电视服务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交互电视服务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视频点播服务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时移播放服务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有线广播电视网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有线网与无线网、卫星等互联互通服务（基于有线、无线和卫星的下一代广播电视网网络建设、组网，实现运营商网络和业务的互联互通）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下一代有线网广播电视网音视频服务（指依托下一代广播电视网，为电视终端、移动终端等提供的音视频服务，如高清、4K、8K数字电视和交互电视服务等）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下一代有线广播电视网数据及信息服务（指依托下一代广播电视网，提供的数据及互联网信息服务）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下一代有线广播电视网语音业务（指依托下一代广播电视网，提供的IP语音服务）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新一代数字电视接收机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新一代数字电视发射机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6322*</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无线广播电视传输服务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无线广播电视网</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无线网与有线网、卫星互联互通服务（基于有线、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无线和卫星的下一代广播电视网网络建设、组网，实现运营商网络和业务的互联互通）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下一代无线广播电视网音视频服务（指依托下一代广播电视网，为电视终端、移动终端等提供的音视频服务，如高清、4K、8K数字电视和交互电视服务等）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下一代无线广播电视网数据及信息服务（指依托下一代广播电视网，提供的数据及互联网信息服务）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下一代无线广播电视网语音业务（指依托下一代广播电视网，提供的IP语音服务）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8.2.5</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其他数字文化创意活动</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6319*</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6422*</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其他电信服务</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互联网游戏服务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数字内容多网络通道传输</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互联网游戏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电子竞技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6571*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地理遥感信息服务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地理信息加工处理服务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6579*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其他数字内容服务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文化创意内容数字化加工整合</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公益事业可视化数字展示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三维城市展示数字服务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可视化城市基础设施管理数字服务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城市监控和工业设计数字服务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数字图书馆展示体验服务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数字美术馆展示体验服务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数字文化馆展示体验服务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智慧博物馆展示体验服务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其他公共领域数字化服务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传统文化产品的数字化转化和开发服务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为新数字设备和终端提供数字文化内容服务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7519*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其他技术推广服务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行业领域数字技术创新推广应用服务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8710*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广播</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数字广播（数字广播节目制作、播放和基于广播电视网、专网及定向传播数字广播节目）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8720*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电视</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数字电视（数字电视节目的制作、播放和基于广播电视网、专网及定向传播数字电视节目（包括虚拟现实节目））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8730*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影视节目制作</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数字影视节目制作（主要包括依托互联网、移动智能终端等新兴媒体进行传播的数字化音乐、动漫、影视、游戏、演出、艺术品、电子出版物、广告和移动多媒体等的设计开发制作）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8740*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广播电视集成播控</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网络广播电视集成播控（交互式网络电视（IPTV）、互联网电视集成播控）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55"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电视剧制作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8760*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电影放映</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数字电视电影院线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数字电影放映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超感影院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8770*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录音制作</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数字化音乐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8810*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文艺创作与表演</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创意文艺创作与表演（包括专门为数字文化创意而提供的音乐、舞蹈、戏曲、戏剧、歌剧、歌曲、曲艺等舞台艺术表演，以及动漫、游戏、艺术品、工艺品等设计制作，还包括数字文化创意内容的前期服务和文艺表演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8.3</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设计服务</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8.3.0</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数字设计服务</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7484*</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工程设计活动</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人居环境设计服务（基于大数据、虚拟现实等先进技术和先进理念的人居环境设计服务，在城乡规划、园区和建筑设计、园林设计和装饰设计等方面的应用）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7485*</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规划设计管理</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数字化城乡规划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数字化园区设计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数字化建筑设计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数字化园林设计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数字化装饰设计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数字化城市设计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7491*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工业设计服务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数字化工业生产工艺设计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数字化工业产品设计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数字化工业生产流程设计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数字化工业商业模式设计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数字化工业服务设计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数字化工业品牌体系设计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数字化工业营销战略规划设计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3D打印等领域工业设计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大数据及工业创新设计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7492*</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专业设计服务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时装设计服务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包装装潢设计服务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多媒体设计服务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动漫及衍生产品设计服务：动漫产品设计服务、动漫衍生产品设计服务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饰物装饰设计服务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美术图案设计服务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展台设计服务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模型设计服务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体现交互式创意设计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虚拟化文化创意设计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网络化文艺创作设计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网络化文化创意设计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其他专业设计服务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8.4</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数字创意与融合服务</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8.4.0</w:t>
            </w: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数字创意与融合服务</w:t>
            </w: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7251</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7259*</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互联网广告服务</w:t>
            </w: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其他广告服务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p>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广告和移动多媒体等的设计开发制作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7281*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科技会展服务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数字化会议及展览服务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7282*</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旅游会展服务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数字化旅游会展服务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7283*</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体育会展服务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数字化体育会展服务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7284*</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文化会展服务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数字创意文化会展服务（以数字图书馆、美术馆、体验馆和智慧博物馆等数字文化场馆为载体的数字文化展示体验服务。 数字创意在展览展示领域的应用业态）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7291*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旅行社及相关服务</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旅游创意服务（数字创意在旅游领域的应用，包括旅游项目策划服务、旅游咨询服务等）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8625*</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电子出版物出版</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电子出版物出版服务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8831*</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图书馆</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网络图书馆、数字图书馆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1577" w:type="dxa"/>
            <w:vAlign w:val="top"/>
          </w:tcPr>
          <w:p>
            <w:pPr>
              <w:widowControl/>
              <w:spacing w:line="320" w:lineRule="exact"/>
              <w:jc w:val="left"/>
              <w:rPr>
                <w:rFonts w:ascii="Times New Roman" w:hAnsi="Times New Roman" w:eastAsia="仿宋_GB2312" w:cs="Times New Roman"/>
                <w:color w:val="000000"/>
                <w:kern w:val="0"/>
                <w:sz w:val="20"/>
                <w:szCs w:val="20"/>
              </w:rPr>
            </w:pPr>
          </w:p>
        </w:tc>
        <w:tc>
          <w:tcPr>
            <w:tcW w:w="821"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8850*</w:t>
            </w:r>
          </w:p>
        </w:tc>
        <w:tc>
          <w:tcPr>
            <w:tcW w:w="1750"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博物馆</w:t>
            </w:r>
          </w:p>
        </w:tc>
        <w:tc>
          <w:tcPr>
            <w:tcW w:w="4318" w:type="dxa"/>
            <w:vAlign w:val="top"/>
          </w:tcPr>
          <w:p>
            <w:pPr>
              <w:widowControl/>
              <w:spacing w:line="32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字博物馆（指运用虚拟现实技术、三维图形图像技术、计算机网络技术、立体显示系统、互动娱乐技术、特种视效技术，将实体博物馆及现实展品、实物、解说、背景等，以数字博物馆（或数字）的形式呈现在观众面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46F57"/>
    <w:rsid w:val="21446F57"/>
    <w:rsid w:val="3B067C89"/>
    <w:rsid w:val="523C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unhideWhenUsed/>
    <w:qFormat/>
    <w:uiPriority w:val="99"/>
    <w:pPr>
      <w:widowControl w:val="0"/>
      <w:spacing w:line="580" w:lineRule="exact"/>
      <w:ind w:firstLine="420" w:firstLineChars="200"/>
      <w:jc w:val="both"/>
    </w:pPr>
    <w:rPr>
      <w:rFonts w:ascii="Times" w:hAnsi="Times" w:eastAsia="方正仿宋_GBK" w:cs="Times New Roman"/>
      <w:kern w:val="2"/>
      <w:sz w:val="30"/>
      <w:szCs w:val="24"/>
      <w:lang w:val="en-US" w:eastAsia="zh-CN" w:bidi="ar-SA"/>
    </w:rPr>
  </w:style>
  <w:style w:type="paragraph" w:styleId="3">
    <w:name w:val="Body Text Indent"/>
    <w:qFormat/>
    <w:uiPriority w:val="0"/>
    <w:pPr>
      <w:widowControl w:val="0"/>
      <w:spacing w:line="580" w:lineRule="exact"/>
      <w:ind w:firstLine="600" w:firstLineChars="200"/>
      <w:jc w:val="both"/>
    </w:pPr>
    <w:rPr>
      <w:rFonts w:ascii="Times" w:hAnsi="Times" w:eastAsia="方正仿宋_GBK"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2021-10-08T07:48:00Z</dcterms:created>
  <dc:creator>vinnie07</dc:creator>
  <cp:lastModifiedBy>vinnie07</cp:lastModifiedBy>
  <dcterms:modified xsi:type="dcterms:W3CDTF">2021-10-08T09:59:54Z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